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E586EE" w14:textId="77777777" w:rsidR="00BF6C55" w:rsidRPr="00BF6C55" w:rsidRDefault="00BF6C55" w:rsidP="00BF6C55">
      <w:pPr>
        <w:shd w:val="clear" w:color="auto" w:fill="FFFFFF"/>
        <w:spacing w:before="120" w:after="120" w:line="240" w:lineRule="auto"/>
        <w:outlineLvl w:val="1"/>
        <w:rPr>
          <w:rFonts w:ascii="Times New Roman" w:eastAsia="Times New Roman" w:hAnsi="Times New Roman" w:cs="Times New Roman"/>
          <w:b/>
          <w:bCs/>
          <w:color w:val="222222"/>
          <w:sz w:val="30"/>
          <w:szCs w:val="30"/>
        </w:rPr>
      </w:pPr>
      <w:r w:rsidRPr="00BF6C55">
        <w:rPr>
          <w:rFonts w:ascii="Times New Roman" w:eastAsia="Times New Roman" w:hAnsi="Times New Roman" w:cs="Times New Roman"/>
          <w:b/>
          <w:bCs/>
          <w:color w:val="222222"/>
          <w:sz w:val="30"/>
          <w:szCs w:val="30"/>
        </w:rPr>
        <w:t>Unit 2 - Individual Project</w:t>
      </w:r>
    </w:p>
    <w:p w14:paraId="41762A22" w14:textId="77777777" w:rsidR="00BF6C55" w:rsidRPr="00BF6C55" w:rsidRDefault="00BF6C55" w:rsidP="00BF6C55">
      <w:pPr>
        <w:shd w:val="clear" w:color="auto" w:fill="FFFFFF"/>
        <w:spacing w:after="240" w:line="240" w:lineRule="auto"/>
        <w:rPr>
          <w:rFonts w:ascii="Calibri" w:eastAsia="Times New Roman" w:hAnsi="Calibri" w:cs="Calibri"/>
          <w:color w:val="222222"/>
          <w:sz w:val="20"/>
          <w:szCs w:val="20"/>
        </w:rPr>
      </w:pPr>
      <w:r w:rsidRPr="00BF6C55">
        <w:rPr>
          <w:rFonts w:ascii="Calibri" w:eastAsia="Times New Roman" w:hAnsi="Calibri" w:cs="Calibri"/>
          <w:color w:val="222222"/>
          <w:sz w:val="20"/>
          <w:szCs w:val="20"/>
        </w:rPr>
        <w:t>Audrey, this is a well written and informative paper.</w:t>
      </w:r>
    </w:p>
    <w:p w14:paraId="6D3B33BD" w14:textId="77777777" w:rsidR="00BF6C55" w:rsidRPr="00BF6C55" w:rsidRDefault="00BF6C55" w:rsidP="00BF6C55">
      <w:pPr>
        <w:shd w:val="clear" w:color="auto" w:fill="FFFFFF"/>
        <w:spacing w:after="240" w:line="240" w:lineRule="auto"/>
        <w:rPr>
          <w:rFonts w:ascii="Calibri" w:eastAsia="Times New Roman" w:hAnsi="Calibri" w:cs="Calibri"/>
          <w:color w:val="222222"/>
          <w:sz w:val="20"/>
          <w:szCs w:val="20"/>
        </w:rPr>
      </w:pPr>
      <w:r w:rsidRPr="00BF6C55">
        <w:rPr>
          <w:rFonts w:ascii="Calibri" w:eastAsia="Times New Roman" w:hAnsi="Calibri" w:cs="Calibri"/>
          <w:color w:val="222222"/>
          <w:sz w:val="20"/>
          <w:szCs w:val="20"/>
        </w:rPr>
        <w:t>I do not see a discussion of the company’s presence on social media. -15 points</w:t>
      </w:r>
    </w:p>
    <w:p w14:paraId="133CCE40" w14:textId="77777777" w:rsidR="00BF6C55" w:rsidRPr="00BF6C55" w:rsidRDefault="00BF6C55" w:rsidP="00BF6C55">
      <w:pPr>
        <w:shd w:val="clear" w:color="auto" w:fill="FFFFFF"/>
        <w:spacing w:after="240" w:line="240" w:lineRule="auto"/>
        <w:rPr>
          <w:rFonts w:ascii="Calibri" w:eastAsia="Times New Roman" w:hAnsi="Calibri" w:cs="Calibri"/>
          <w:color w:val="222222"/>
          <w:sz w:val="20"/>
          <w:szCs w:val="20"/>
        </w:rPr>
      </w:pPr>
      <w:r w:rsidRPr="00BF6C55">
        <w:rPr>
          <w:rFonts w:ascii="Calibri" w:eastAsia="Times New Roman" w:hAnsi="Calibri" w:cs="Calibri"/>
          <w:color w:val="222222"/>
          <w:sz w:val="20"/>
          <w:szCs w:val="20"/>
        </w:rPr>
        <w:t>St</w:t>
      </w:r>
      <w:bookmarkStart w:id="0" w:name="_GoBack"/>
      <w:bookmarkEnd w:id="0"/>
      <w:r w:rsidRPr="00BF6C55">
        <w:rPr>
          <w:rFonts w:ascii="Calibri" w:eastAsia="Times New Roman" w:hAnsi="Calibri" w:cs="Calibri"/>
          <w:color w:val="222222"/>
          <w:sz w:val="20"/>
          <w:szCs w:val="20"/>
        </w:rPr>
        <w:t>ep 2: Corporate Social Media In-Depth Review</w:t>
      </w:r>
    </w:p>
    <w:p w14:paraId="1EC13901" w14:textId="77777777" w:rsidR="00BF6C55" w:rsidRPr="00BF6C55" w:rsidRDefault="00BF6C55" w:rsidP="00BF6C55">
      <w:pPr>
        <w:shd w:val="clear" w:color="auto" w:fill="FFFFFF"/>
        <w:spacing w:after="240" w:line="240" w:lineRule="auto"/>
        <w:rPr>
          <w:rFonts w:ascii="Calibri" w:eastAsia="Times New Roman" w:hAnsi="Calibri" w:cs="Calibri"/>
          <w:color w:val="222222"/>
          <w:sz w:val="20"/>
          <w:szCs w:val="20"/>
        </w:rPr>
      </w:pPr>
      <w:r w:rsidRPr="00BF6C55">
        <w:rPr>
          <w:rFonts w:ascii="Calibri" w:eastAsia="Times New Roman" w:hAnsi="Calibri" w:cs="Calibri"/>
          <w:color w:val="222222"/>
          <w:sz w:val="20"/>
          <w:szCs w:val="20"/>
        </w:rPr>
        <w:t>Review the selected company’s presence on at least 8 corporate social media channels, paying particular attention to human resources issues or topics. Consider a diverse range of social media channels, including video sites, blogging sites, photograph-sharing sites, and more.</w:t>
      </w:r>
    </w:p>
    <w:p w14:paraId="75B4A756" w14:textId="77777777" w:rsidR="00BF6C55" w:rsidRPr="00BF6C55" w:rsidRDefault="00BF6C55" w:rsidP="00BF6C55">
      <w:pPr>
        <w:shd w:val="clear" w:color="auto" w:fill="FFFFFF"/>
        <w:spacing w:after="240" w:line="240" w:lineRule="auto"/>
        <w:rPr>
          <w:rFonts w:ascii="Calibri" w:eastAsia="Times New Roman" w:hAnsi="Calibri" w:cs="Calibri"/>
          <w:color w:val="222222"/>
          <w:sz w:val="20"/>
          <w:szCs w:val="20"/>
        </w:rPr>
      </w:pPr>
      <w:r w:rsidRPr="00BF6C55">
        <w:rPr>
          <w:rFonts w:ascii="Calibri" w:eastAsia="Times New Roman" w:hAnsi="Calibri" w:cs="Calibri"/>
          <w:color w:val="222222"/>
          <w:sz w:val="20"/>
          <w:szCs w:val="20"/>
        </w:rPr>
        <w:t>Otherwise you have some interesting and thorough points as we look ahead to SWOT and Risk and Opportunity Assessment.</w:t>
      </w:r>
    </w:p>
    <w:p w14:paraId="2E84957D" w14:textId="77777777" w:rsidR="00BF6C55" w:rsidRPr="00BF6C55" w:rsidRDefault="00BF6C55" w:rsidP="00BF6C55">
      <w:pPr>
        <w:shd w:val="clear" w:color="auto" w:fill="FFFFFF"/>
        <w:spacing w:after="240" w:line="240" w:lineRule="auto"/>
        <w:rPr>
          <w:rFonts w:ascii="Calibri" w:eastAsia="Times New Roman" w:hAnsi="Calibri" w:cs="Calibri"/>
          <w:color w:val="222222"/>
          <w:sz w:val="20"/>
          <w:szCs w:val="20"/>
        </w:rPr>
      </w:pPr>
      <w:r w:rsidRPr="00BF6C55">
        <w:rPr>
          <w:rFonts w:ascii="Calibri" w:eastAsia="Times New Roman" w:hAnsi="Calibri" w:cs="Calibri"/>
          <w:color w:val="222222"/>
          <w:sz w:val="20"/>
          <w:szCs w:val="20"/>
        </w:rPr>
        <w:t>UNIT 3 will be working with comparator groups (and companies) so watch for that “quirk” in the next assignment.</w:t>
      </w:r>
    </w:p>
    <w:tbl>
      <w:tblPr>
        <w:tblW w:w="14018" w:type="dxa"/>
        <w:tblCellMar>
          <w:top w:w="15" w:type="dxa"/>
          <w:left w:w="15" w:type="dxa"/>
          <w:bottom w:w="15" w:type="dxa"/>
          <w:right w:w="15" w:type="dxa"/>
        </w:tblCellMar>
        <w:tblLook w:val="04A0" w:firstRow="1" w:lastRow="0" w:firstColumn="1" w:lastColumn="0" w:noHBand="0" w:noVBand="1"/>
      </w:tblPr>
      <w:tblGrid>
        <w:gridCol w:w="5153"/>
        <w:gridCol w:w="2715"/>
        <w:gridCol w:w="2460"/>
        <w:gridCol w:w="3690"/>
      </w:tblGrid>
      <w:tr w:rsidR="00BF6C55" w:rsidRPr="00BF6C55" w14:paraId="2658F51F" w14:textId="77777777" w:rsidTr="00BF6C55">
        <w:tc>
          <w:tcPr>
            <w:tcW w:w="3645" w:type="dxa"/>
            <w:tcBorders>
              <w:right w:val="single" w:sz="6" w:space="0" w:color="C9C9C9"/>
            </w:tcBorders>
            <w:shd w:val="clear" w:color="auto" w:fill="auto"/>
            <w:tcMar>
              <w:top w:w="120" w:type="dxa"/>
              <w:left w:w="75" w:type="dxa"/>
              <w:bottom w:w="120" w:type="dxa"/>
              <w:right w:w="75" w:type="dxa"/>
            </w:tcMar>
            <w:vAlign w:val="center"/>
            <w:hideMark/>
          </w:tcPr>
          <w:p w14:paraId="2F67B101"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b/>
                <w:bCs/>
                <w:sz w:val="24"/>
                <w:szCs w:val="24"/>
              </w:rPr>
              <w:t>Grading Criteria</w:t>
            </w:r>
          </w:p>
        </w:tc>
        <w:tc>
          <w:tcPr>
            <w:tcW w:w="1920" w:type="dxa"/>
            <w:tcBorders>
              <w:right w:val="single" w:sz="6" w:space="0" w:color="C9C9C9"/>
            </w:tcBorders>
            <w:shd w:val="clear" w:color="auto" w:fill="auto"/>
            <w:tcMar>
              <w:top w:w="120" w:type="dxa"/>
              <w:left w:w="75" w:type="dxa"/>
              <w:bottom w:w="120" w:type="dxa"/>
              <w:right w:w="75" w:type="dxa"/>
            </w:tcMar>
            <w:vAlign w:val="center"/>
            <w:hideMark/>
          </w:tcPr>
          <w:p w14:paraId="37FE4FFA"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b/>
                <w:bCs/>
                <w:sz w:val="24"/>
                <w:szCs w:val="24"/>
              </w:rPr>
              <w:t>Percentage</w:t>
            </w:r>
          </w:p>
        </w:tc>
        <w:tc>
          <w:tcPr>
            <w:tcW w:w="1740" w:type="dxa"/>
            <w:tcBorders>
              <w:right w:val="single" w:sz="6" w:space="0" w:color="C9C9C9"/>
            </w:tcBorders>
            <w:shd w:val="clear" w:color="auto" w:fill="auto"/>
            <w:tcMar>
              <w:top w:w="120" w:type="dxa"/>
              <w:left w:w="75" w:type="dxa"/>
              <w:bottom w:w="120" w:type="dxa"/>
              <w:right w:w="75" w:type="dxa"/>
            </w:tcMar>
            <w:vAlign w:val="center"/>
            <w:hideMark/>
          </w:tcPr>
          <w:p w14:paraId="324EF0C7"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b/>
                <w:bCs/>
                <w:sz w:val="24"/>
                <w:szCs w:val="24"/>
              </w:rPr>
              <w:t>Points Earned</w:t>
            </w:r>
          </w:p>
        </w:tc>
        <w:tc>
          <w:tcPr>
            <w:tcW w:w="2610" w:type="dxa"/>
            <w:tcBorders>
              <w:right w:val="nil"/>
            </w:tcBorders>
            <w:shd w:val="clear" w:color="auto" w:fill="auto"/>
            <w:tcMar>
              <w:top w:w="120" w:type="dxa"/>
              <w:left w:w="75" w:type="dxa"/>
              <w:bottom w:w="120" w:type="dxa"/>
              <w:right w:w="75" w:type="dxa"/>
            </w:tcMar>
            <w:vAlign w:val="center"/>
            <w:hideMark/>
          </w:tcPr>
          <w:p w14:paraId="1977DCA9"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b/>
                <w:bCs/>
                <w:sz w:val="24"/>
                <w:szCs w:val="24"/>
              </w:rPr>
              <w:t>Comments</w:t>
            </w:r>
          </w:p>
        </w:tc>
      </w:tr>
      <w:tr w:rsidR="00BF6C55" w:rsidRPr="00BF6C55" w14:paraId="5E9E68A5" w14:textId="77777777" w:rsidTr="00BF6C55">
        <w:tc>
          <w:tcPr>
            <w:tcW w:w="3645" w:type="dxa"/>
            <w:tcBorders>
              <w:right w:val="single" w:sz="6" w:space="0" w:color="C9C9C9"/>
            </w:tcBorders>
            <w:shd w:val="clear" w:color="auto" w:fill="F0F0EE"/>
            <w:tcMar>
              <w:top w:w="120" w:type="dxa"/>
              <w:left w:w="75" w:type="dxa"/>
              <w:bottom w:w="120" w:type="dxa"/>
              <w:right w:w="75" w:type="dxa"/>
            </w:tcMar>
            <w:vAlign w:val="center"/>
            <w:hideMark/>
          </w:tcPr>
          <w:p w14:paraId="3DC062CE"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Deliverable requirements addressed; understanding of material and writer's message and intent are clear.</w:t>
            </w:r>
          </w:p>
        </w:tc>
        <w:tc>
          <w:tcPr>
            <w:tcW w:w="1920" w:type="dxa"/>
            <w:tcBorders>
              <w:right w:val="single" w:sz="6" w:space="0" w:color="C9C9C9"/>
            </w:tcBorders>
            <w:shd w:val="clear" w:color="auto" w:fill="F0F0EE"/>
            <w:tcMar>
              <w:top w:w="120" w:type="dxa"/>
              <w:left w:w="75" w:type="dxa"/>
              <w:bottom w:w="120" w:type="dxa"/>
              <w:right w:w="75" w:type="dxa"/>
            </w:tcMar>
            <w:vAlign w:val="center"/>
            <w:hideMark/>
          </w:tcPr>
          <w:p w14:paraId="189B49B0"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35%</w:t>
            </w:r>
          </w:p>
        </w:tc>
        <w:tc>
          <w:tcPr>
            <w:tcW w:w="1740" w:type="dxa"/>
            <w:tcBorders>
              <w:right w:val="single" w:sz="6" w:space="0" w:color="C9C9C9"/>
            </w:tcBorders>
            <w:shd w:val="clear" w:color="auto" w:fill="F0F0EE"/>
            <w:tcMar>
              <w:top w:w="120" w:type="dxa"/>
              <w:left w:w="75" w:type="dxa"/>
              <w:bottom w:w="120" w:type="dxa"/>
              <w:right w:w="75" w:type="dxa"/>
            </w:tcMar>
            <w:vAlign w:val="center"/>
            <w:hideMark/>
          </w:tcPr>
          <w:p w14:paraId="1866980B"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37.5/52.5</w:t>
            </w:r>
          </w:p>
        </w:tc>
        <w:tc>
          <w:tcPr>
            <w:tcW w:w="2610" w:type="dxa"/>
            <w:tcBorders>
              <w:right w:val="nil"/>
            </w:tcBorders>
            <w:shd w:val="clear" w:color="auto" w:fill="F0F0EE"/>
            <w:tcMar>
              <w:top w:w="120" w:type="dxa"/>
              <w:left w:w="75" w:type="dxa"/>
              <w:bottom w:w="120" w:type="dxa"/>
              <w:right w:w="75" w:type="dxa"/>
            </w:tcMar>
            <w:vAlign w:val="center"/>
            <w:hideMark/>
          </w:tcPr>
          <w:p w14:paraId="32E38CD4"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You missed fully discussing Step 2.</w:t>
            </w:r>
          </w:p>
        </w:tc>
      </w:tr>
      <w:tr w:rsidR="00BF6C55" w:rsidRPr="00BF6C55" w14:paraId="17A1D745" w14:textId="77777777" w:rsidTr="00BF6C55">
        <w:tc>
          <w:tcPr>
            <w:tcW w:w="3645" w:type="dxa"/>
            <w:tcBorders>
              <w:right w:val="single" w:sz="6" w:space="0" w:color="C9C9C9"/>
            </w:tcBorders>
            <w:shd w:val="clear" w:color="auto" w:fill="auto"/>
            <w:tcMar>
              <w:top w:w="120" w:type="dxa"/>
              <w:left w:w="75" w:type="dxa"/>
              <w:bottom w:w="120" w:type="dxa"/>
              <w:right w:w="75" w:type="dxa"/>
            </w:tcMar>
            <w:vAlign w:val="center"/>
            <w:hideMark/>
          </w:tcPr>
          <w:p w14:paraId="7E2174A7"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 xml:space="preserve">Scholarly research supports the writer's position and is properly </w:t>
            </w:r>
            <w:proofErr w:type="gramStart"/>
            <w:r w:rsidRPr="00BF6C55">
              <w:rPr>
                <w:rFonts w:ascii="Times New Roman" w:eastAsia="Times New Roman" w:hAnsi="Times New Roman" w:cs="Times New Roman"/>
                <w:sz w:val="24"/>
                <w:szCs w:val="24"/>
              </w:rPr>
              <w:t>acknowledged, and</w:t>
            </w:r>
            <w:proofErr w:type="gramEnd"/>
            <w:r w:rsidRPr="00BF6C55">
              <w:rPr>
                <w:rFonts w:ascii="Times New Roman" w:eastAsia="Times New Roman" w:hAnsi="Times New Roman" w:cs="Times New Roman"/>
                <w:sz w:val="24"/>
                <w:szCs w:val="24"/>
              </w:rPr>
              <w:t xml:space="preserve"> cited direct quotations may not exceed 10% of the word count of the body of the assignment deliverable (excluding title page, abstract, table of contents, tables, exhibits, appendices, and reference pages). Inclusion of plagiarized content will not be tolerated and may result in adverse academic consequences.</w:t>
            </w:r>
          </w:p>
        </w:tc>
        <w:tc>
          <w:tcPr>
            <w:tcW w:w="1920" w:type="dxa"/>
            <w:tcBorders>
              <w:right w:val="single" w:sz="6" w:space="0" w:color="C9C9C9"/>
            </w:tcBorders>
            <w:shd w:val="clear" w:color="auto" w:fill="auto"/>
            <w:tcMar>
              <w:top w:w="120" w:type="dxa"/>
              <w:left w:w="75" w:type="dxa"/>
              <w:bottom w:w="120" w:type="dxa"/>
              <w:right w:w="75" w:type="dxa"/>
            </w:tcMar>
            <w:vAlign w:val="center"/>
            <w:hideMark/>
          </w:tcPr>
          <w:p w14:paraId="64852E64"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20%</w:t>
            </w:r>
          </w:p>
        </w:tc>
        <w:tc>
          <w:tcPr>
            <w:tcW w:w="1740" w:type="dxa"/>
            <w:tcBorders>
              <w:right w:val="single" w:sz="6" w:space="0" w:color="C9C9C9"/>
            </w:tcBorders>
            <w:shd w:val="clear" w:color="auto" w:fill="auto"/>
            <w:tcMar>
              <w:top w:w="120" w:type="dxa"/>
              <w:left w:w="75" w:type="dxa"/>
              <w:bottom w:w="120" w:type="dxa"/>
              <w:right w:w="75" w:type="dxa"/>
            </w:tcMar>
            <w:vAlign w:val="center"/>
            <w:hideMark/>
          </w:tcPr>
          <w:p w14:paraId="645198C1"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30/30</w:t>
            </w:r>
          </w:p>
        </w:tc>
        <w:tc>
          <w:tcPr>
            <w:tcW w:w="2610" w:type="dxa"/>
            <w:tcBorders>
              <w:right w:val="nil"/>
            </w:tcBorders>
            <w:shd w:val="clear" w:color="auto" w:fill="auto"/>
            <w:tcMar>
              <w:top w:w="120" w:type="dxa"/>
              <w:left w:w="75" w:type="dxa"/>
              <w:bottom w:w="120" w:type="dxa"/>
              <w:right w:w="75" w:type="dxa"/>
            </w:tcMar>
            <w:vAlign w:val="center"/>
            <w:hideMark/>
          </w:tcPr>
          <w:p w14:paraId="295E0991"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Excellent.</w:t>
            </w:r>
          </w:p>
        </w:tc>
      </w:tr>
      <w:tr w:rsidR="00BF6C55" w:rsidRPr="00BF6C55" w14:paraId="79AB6D03" w14:textId="77777777" w:rsidTr="00BF6C55">
        <w:tc>
          <w:tcPr>
            <w:tcW w:w="3645" w:type="dxa"/>
            <w:tcBorders>
              <w:right w:val="single" w:sz="6" w:space="0" w:color="C9C9C9"/>
            </w:tcBorders>
            <w:shd w:val="clear" w:color="auto" w:fill="F0F0EE"/>
            <w:tcMar>
              <w:top w:w="120" w:type="dxa"/>
              <w:left w:w="75" w:type="dxa"/>
              <w:bottom w:w="120" w:type="dxa"/>
              <w:right w:w="75" w:type="dxa"/>
            </w:tcMar>
            <w:vAlign w:val="center"/>
            <w:hideMark/>
          </w:tcPr>
          <w:p w14:paraId="36CC3281"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lastRenderedPageBreak/>
              <w:t>Critical thinking: Position is well-justified, there is logical flow, and there are examples.</w:t>
            </w:r>
          </w:p>
        </w:tc>
        <w:tc>
          <w:tcPr>
            <w:tcW w:w="1920" w:type="dxa"/>
            <w:tcBorders>
              <w:right w:val="single" w:sz="6" w:space="0" w:color="C9C9C9"/>
            </w:tcBorders>
            <w:shd w:val="clear" w:color="auto" w:fill="F0F0EE"/>
            <w:tcMar>
              <w:top w:w="120" w:type="dxa"/>
              <w:left w:w="75" w:type="dxa"/>
              <w:bottom w:w="120" w:type="dxa"/>
              <w:right w:w="75" w:type="dxa"/>
            </w:tcMar>
            <w:vAlign w:val="center"/>
            <w:hideMark/>
          </w:tcPr>
          <w:p w14:paraId="52BA60CB"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20%</w:t>
            </w:r>
          </w:p>
        </w:tc>
        <w:tc>
          <w:tcPr>
            <w:tcW w:w="1740" w:type="dxa"/>
            <w:tcBorders>
              <w:right w:val="single" w:sz="6" w:space="0" w:color="C9C9C9"/>
            </w:tcBorders>
            <w:shd w:val="clear" w:color="auto" w:fill="F0F0EE"/>
            <w:tcMar>
              <w:top w:w="120" w:type="dxa"/>
              <w:left w:w="75" w:type="dxa"/>
              <w:bottom w:w="120" w:type="dxa"/>
              <w:right w:w="75" w:type="dxa"/>
            </w:tcMar>
            <w:vAlign w:val="center"/>
            <w:hideMark/>
          </w:tcPr>
          <w:p w14:paraId="53203518"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30/30</w:t>
            </w:r>
          </w:p>
        </w:tc>
        <w:tc>
          <w:tcPr>
            <w:tcW w:w="2610" w:type="dxa"/>
            <w:tcBorders>
              <w:right w:val="nil"/>
            </w:tcBorders>
            <w:shd w:val="clear" w:color="auto" w:fill="F0F0EE"/>
            <w:tcMar>
              <w:top w:w="120" w:type="dxa"/>
              <w:left w:w="75" w:type="dxa"/>
              <w:bottom w:w="120" w:type="dxa"/>
              <w:right w:w="75" w:type="dxa"/>
            </w:tcMar>
            <w:vAlign w:val="center"/>
            <w:hideMark/>
          </w:tcPr>
          <w:p w14:paraId="15A1C265"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Yes!</w:t>
            </w:r>
          </w:p>
        </w:tc>
      </w:tr>
      <w:tr w:rsidR="00BF6C55" w:rsidRPr="00BF6C55" w14:paraId="1D25B000" w14:textId="77777777" w:rsidTr="00BF6C55">
        <w:tc>
          <w:tcPr>
            <w:tcW w:w="3645" w:type="dxa"/>
            <w:tcBorders>
              <w:right w:val="single" w:sz="6" w:space="0" w:color="C9C9C9"/>
            </w:tcBorders>
            <w:shd w:val="clear" w:color="auto" w:fill="auto"/>
            <w:tcMar>
              <w:top w:w="120" w:type="dxa"/>
              <w:left w:w="75" w:type="dxa"/>
              <w:bottom w:w="120" w:type="dxa"/>
              <w:right w:w="75" w:type="dxa"/>
            </w:tcMar>
            <w:vAlign w:val="center"/>
            <w:hideMark/>
          </w:tcPr>
          <w:p w14:paraId="40820181"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Structure: Includes introduction and conclusion, proper paragraph format, and reads as a polished, academic paper or professional presentation, as appropriate for the required assignment deliverable.</w:t>
            </w:r>
          </w:p>
        </w:tc>
        <w:tc>
          <w:tcPr>
            <w:tcW w:w="1920" w:type="dxa"/>
            <w:tcBorders>
              <w:right w:val="single" w:sz="6" w:space="0" w:color="C9C9C9"/>
            </w:tcBorders>
            <w:shd w:val="clear" w:color="auto" w:fill="auto"/>
            <w:tcMar>
              <w:top w:w="120" w:type="dxa"/>
              <w:left w:w="75" w:type="dxa"/>
              <w:bottom w:w="120" w:type="dxa"/>
              <w:right w:w="75" w:type="dxa"/>
            </w:tcMar>
            <w:vAlign w:val="center"/>
            <w:hideMark/>
          </w:tcPr>
          <w:p w14:paraId="56807D9D"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10%</w:t>
            </w:r>
          </w:p>
        </w:tc>
        <w:tc>
          <w:tcPr>
            <w:tcW w:w="1740" w:type="dxa"/>
            <w:tcBorders>
              <w:right w:val="single" w:sz="6" w:space="0" w:color="C9C9C9"/>
            </w:tcBorders>
            <w:shd w:val="clear" w:color="auto" w:fill="auto"/>
            <w:tcMar>
              <w:top w:w="120" w:type="dxa"/>
              <w:left w:w="75" w:type="dxa"/>
              <w:bottom w:w="120" w:type="dxa"/>
              <w:right w:w="75" w:type="dxa"/>
            </w:tcMar>
            <w:vAlign w:val="center"/>
            <w:hideMark/>
          </w:tcPr>
          <w:p w14:paraId="1A5FE261"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15/15</w:t>
            </w:r>
          </w:p>
        </w:tc>
        <w:tc>
          <w:tcPr>
            <w:tcW w:w="2610" w:type="dxa"/>
            <w:tcBorders>
              <w:right w:val="nil"/>
            </w:tcBorders>
            <w:shd w:val="clear" w:color="auto" w:fill="auto"/>
            <w:tcMar>
              <w:top w:w="120" w:type="dxa"/>
              <w:left w:w="75" w:type="dxa"/>
              <w:bottom w:w="120" w:type="dxa"/>
              <w:right w:w="75" w:type="dxa"/>
            </w:tcMar>
            <w:vAlign w:val="center"/>
            <w:hideMark/>
          </w:tcPr>
          <w:p w14:paraId="6B7C5DC1"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No problems.</w:t>
            </w:r>
          </w:p>
        </w:tc>
      </w:tr>
      <w:tr w:rsidR="00BF6C55" w:rsidRPr="00BF6C55" w14:paraId="44274230" w14:textId="77777777" w:rsidTr="00BF6C55">
        <w:tc>
          <w:tcPr>
            <w:tcW w:w="3645" w:type="dxa"/>
            <w:tcBorders>
              <w:right w:val="single" w:sz="6" w:space="0" w:color="C9C9C9"/>
            </w:tcBorders>
            <w:shd w:val="clear" w:color="auto" w:fill="F0F0EE"/>
            <w:tcMar>
              <w:top w:w="120" w:type="dxa"/>
              <w:left w:w="75" w:type="dxa"/>
              <w:bottom w:w="120" w:type="dxa"/>
              <w:right w:w="75" w:type="dxa"/>
            </w:tcMar>
            <w:vAlign w:val="center"/>
            <w:hideMark/>
          </w:tcPr>
          <w:p w14:paraId="49DD9F48"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Mechanical: No spelling, grammatical, or punctuation errors.</w:t>
            </w:r>
          </w:p>
        </w:tc>
        <w:tc>
          <w:tcPr>
            <w:tcW w:w="1920" w:type="dxa"/>
            <w:tcBorders>
              <w:right w:val="single" w:sz="6" w:space="0" w:color="C9C9C9"/>
            </w:tcBorders>
            <w:shd w:val="clear" w:color="auto" w:fill="F0F0EE"/>
            <w:tcMar>
              <w:top w:w="120" w:type="dxa"/>
              <w:left w:w="75" w:type="dxa"/>
              <w:bottom w:w="120" w:type="dxa"/>
              <w:right w:w="75" w:type="dxa"/>
            </w:tcMar>
            <w:vAlign w:val="center"/>
            <w:hideMark/>
          </w:tcPr>
          <w:p w14:paraId="5634583C"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10%</w:t>
            </w:r>
          </w:p>
        </w:tc>
        <w:tc>
          <w:tcPr>
            <w:tcW w:w="1740" w:type="dxa"/>
            <w:tcBorders>
              <w:right w:val="single" w:sz="6" w:space="0" w:color="C9C9C9"/>
            </w:tcBorders>
            <w:shd w:val="clear" w:color="auto" w:fill="F0F0EE"/>
            <w:tcMar>
              <w:top w:w="120" w:type="dxa"/>
              <w:left w:w="75" w:type="dxa"/>
              <w:bottom w:w="120" w:type="dxa"/>
              <w:right w:w="75" w:type="dxa"/>
            </w:tcMar>
            <w:vAlign w:val="center"/>
            <w:hideMark/>
          </w:tcPr>
          <w:p w14:paraId="3129CFC9"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15/15</w:t>
            </w:r>
          </w:p>
        </w:tc>
        <w:tc>
          <w:tcPr>
            <w:tcW w:w="2610" w:type="dxa"/>
            <w:tcBorders>
              <w:right w:val="nil"/>
            </w:tcBorders>
            <w:shd w:val="clear" w:color="auto" w:fill="F0F0EE"/>
            <w:tcMar>
              <w:top w:w="120" w:type="dxa"/>
              <w:left w:w="75" w:type="dxa"/>
              <w:bottom w:w="120" w:type="dxa"/>
              <w:right w:w="75" w:type="dxa"/>
            </w:tcMar>
            <w:vAlign w:val="center"/>
            <w:hideMark/>
          </w:tcPr>
          <w:p w14:paraId="2C1531A1"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OK</w:t>
            </w:r>
          </w:p>
          <w:p w14:paraId="441DBEA3"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Proofread!</w:t>
            </w:r>
          </w:p>
        </w:tc>
      </w:tr>
      <w:tr w:rsidR="00BF6C55" w:rsidRPr="00BF6C55" w14:paraId="3BCA1838" w14:textId="77777777" w:rsidTr="00BF6C55">
        <w:tc>
          <w:tcPr>
            <w:tcW w:w="3645" w:type="dxa"/>
            <w:tcBorders>
              <w:right w:val="single" w:sz="6" w:space="0" w:color="C9C9C9"/>
            </w:tcBorders>
            <w:shd w:val="clear" w:color="auto" w:fill="auto"/>
            <w:tcMar>
              <w:top w:w="120" w:type="dxa"/>
              <w:left w:w="75" w:type="dxa"/>
              <w:bottom w:w="120" w:type="dxa"/>
              <w:right w:w="75" w:type="dxa"/>
            </w:tcMar>
            <w:vAlign w:val="center"/>
            <w:hideMark/>
          </w:tcPr>
          <w:p w14:paraId="31231683"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 xml:space="preserve">APA: Deliverable is cited properly according to the </w:t>
            </w:r>
            <w:r w:rsidRPr="00BF6C55">
              <w:rPr>
                <w:rFonts w:ascii="Times New Roman" w:eastAsia="Times New Roman" w:hAnsi="Times New Roman" w:cs="Times New Roman"/>
                <w:i/>
                <w:iCs/>
                <w:sz w:val="24"/>
                <w:szCs w:val="24"/>
              </w:rPr>
              <w:t>APA Publication Manual</w:t>
            </w:r>
            <w:r w:rsidRPr="00BF6C55">
              <w:rPr>
                <w:rFonts w:ascii="Times New Roman" w:eastAsia="Times New Roman" w:hAnsi="Times New Roman" w:cs="Times New Roman"/>
                <w:sz w:val="24"/>
                <w:szCs w:val="24"/>
              </w:rPr>
              <w:t xml:space="preserve"> (6th ed.).</w:t>
            </w:r>
          </w:p>
        </w:tc>
        <w:tc>
          <w:tcPr>
            <w:tcW w:w="1920" w:type="dxa"/>
            <w:tcBorders>
              <w:right w:val="single" w:sz="6" w:space="0" w:color="C9C9C9"/>
            </w:tcBorders>
            <w:shd w:val="clear" w:color="auto" w:fill="auto"/>
            <w:tcMar>
              <w:top w:w="120" w:type="dxa"/>
              <w:left w:w="75" w:type="dxa"/>
              <w:bottom w:w="120" w:type="dxa"/>
              <w:right w:w="75" w:type="dxa"/>
            </w:tcMar>
            <w:vAlign w:val="center"/>
            <w:hideMark/>
          </w:tcPr>
          <w:p w14:paraId="2A2368B9"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          5%</w:t>
            </w:r>
          </w:p>
        </w:tc>
        <w:tc>
          <w:tcPr>
            <w:tcW w:w="1740" w:type="dxa"/>
            <w:tcBorders>
              <w:right w:val="single" w:sz="6" w:space="0" w:color="C9C9C9"/>
            </w:tcBorders>
            <w:shd w:val="clear" w:color="auto" w:fill="auto"/>
            <w:tcMar>
              <w:top w:w="120" w:type="dxa"/>
              <w:left w:w="75" w:type="dxa"/>
              <w:bottom w:w="120" w:type="dxa"/>
              <w:right w:w="75" w:type="dxa"/>
            </w:tcMar>
            <w:vAlign w:val="center"/>
            <w:hideMark/>
          </w:tcPr>
          <w:p w14:paraId="2B753F79"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     7.57.5</w:t>
            </w:r>
          </w:p>
        </w:tc>
        <w:tc>
          <w:tcPr>
            <w:tcW w:w="2610" w:type="dxa"/>
            <w:tcBorders>
              <w:right w:val="nil"/>
            </w:tcBorders>
            <w:shd w:val="clear" w:color="auto" w:fill="auto"/>
            <w:tcMar>
              <w:top w:w="120" w:type="dxa"/>
              <w:left w:w="75" w:type="dxa"/>
              <w:bottom w:w="120" w:type="dxa"/>
              <w:right w:w="75" w:type="dxa"/>
            </w:tcMar>
            <w:vAlign w:val="center"/>
            <w:hideMark/>
          </w:tcPr>
          <w:p w14:paraId="4C10DC9F" w14:textId="77777777" w:rsidR="00BF6C55" w:rsidRPr="00BF6C55" w:rsidRDefault="00BF6C55" w:rsidP="00BF6C55">
            <w:pPr>
              <w:spacing w:after="240" w:line="240" w:lineRule="auto"/>
              <w:rPr>
                <w:rFonts w:ascii="Times New Roman" w:eastAsia="Times New Roman" w:hAnsi="Times New Roman" w:cs="Times New Roman"/>
                <w:sz w:val="24"/>
                <w:szCs w:val="24"/>
              </w:rPr>
            </w:pPr>
            <w:proofErr w:type="gramStart"/>
            <w:r w:rsidRPr="00BF6C55">
              <w:rPr>
                <w:rFonts w:ascii="Times New Roman" w:eastAsia="Times New Roman" w:hAnsi="Times New Roman" w:cs="Times New Roman"/>
                <w:sz w:val="24"/>
                <w:szCs w:val="24"/>
              </w:rPr>
              <w:t>Review  the</w:t>
            </w:r>
            <w:proofErr w:type="gramEnd"/>
            <w:r w:rsidRPr="00BF6C55">
              <w:rPr>
                <w:rFonts w:ascii="Times New Roman" w:eastAsia="Times New Roman" w:hAnsi="Times New Roman" w:cs="Times New Roman"/>
                <w:sz w:val="24"/>
                <w:szCs w:val="24"/>
              </w:rPr>
              <w:t xml:space="preserve"> APA requirements such as at </w:t>
            </w:r>
            <w:hyperlink r:id="rId4" w:history="1">
              <w:r w:rsidRPr="00BF6C55">
                <w:rPr>
                  <w:rFonts w:ascii="Times New Roman" w:eastAsia="Times New Roman" w:hAnsi="Times New Roman" w:cs="Times New Roman"/>
                  <w:color w:val="005293"/>
                  <w:sz w:val="24"/>
                  <w:szCs w:val="24"/>
                  <w:u w:val="single"/>
                </w:rPr>
                <w:t>http://www.apastyle.org/</w:t>
              </w:r>
            </w:hyperlink>
            <w:r w:rsidRPr="00BF6C55">
              <w:rPr>
                <w:rFonts w:ascii="Times New Roman" w:eastAsia="Times New Roman" w:hAnsi="Times New Roman" w:cs="Times New Roman"/>
                <w:sz w:val="24"/>
                <w:szCs w:val="24"/>
              </w:rPr>
              <w:t xml:space="preserve"> on APA.</w:t>
            </w:r>
          </w:p>
          <w:p w14:paraId="3DECAD88"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 </w:t>
            </w:r>
          </w:p>
        </w:tc>
      </w:tr>
      <w:tr w:rsidR="00BF6C55" w:rsidRPr="00BF6C55" w14:paraId="5D4CD15E" w14:textId="77777777" w:rsidTr="00BF6C55">
        <w:tc>
          <w:tcPr>
            <w:tcW w:w="3645" w:type="dxa"/>
            <w:tcBorders>
              <w:right w:val="single" w:sz="6" w:space="0" w:color="C9C9C9"/>
            </w:tcBorders>
            <w:shd w:val="clear" w:color="auto" w:fill="F0F0EE"/>
            <w:tcMar>
              <w:top w:w="120" w:type="dxa"/>
              <w:left w:w="75" w:type="dxa"/>
              <w:bottom w:w="120" w:type="dxa"/>
              <w:right w:w="75" w:type="dxa"/>
            </w:tcMar>
            <w:vAlign w:val="center"/>
            <w:hideMark/>
          </w:tcPr>
          <w:p w14:paraId="530FDFB4"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 </w:t>
            </w:r>
          </w:p>
        </w:tc>
        <w:tc>
          <w:tcPr>
            <w:tcW w:w="1920" w:type="dxa"/>
            <w:tcBorders>
              <w:right w:val="single" w:sz="6" w:space="0" w:color="C9C9C9"/>
            </w:tcBorders>
            <w:shd w:val="clear" w:color="auto" w:fill="F0F0EE"/>
            <w:tcMar>
              <w:top w:w="120" w:type="dxa"/>
              <w:left w:w="75" w:type="dxa"/>
              <w:bottom w:w="120" w:type="dxa"/>
              <w:right w:w="75" w:type="dxa"/>
            </w:tcMar>
            <w:vAlign w:val="center"/>
            <w:hideMark/>
          </w:tcPr>
          <w:p w14:paraId="2305E18C"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 </w:t>
            </w:r>
          </w:p>
        </w:tc>
        <w:tc>
          <w:tcPr>
            <w:tcW w:w="1740" w:type="dxa"/>
            <w:tcBorders>
              <w:right w:val="single" w:sz="6" w:space="0" w:color="C9C9C9"/>
            </w:tcBorders>
            <w:shd w:val="clear" w:color="auto" w:fill="F0F0EE"/>
            <w:tcMar>
              <w:top w:w="120" w:type="dxa"/>
              <w:left w:w="75" w:type="dxa"/>
              <w:bottom w:w="120" w:type="dxa"/>
              <w:right w:w="75" w:type="dxa"/>
            </w:tcMar>
            <w:vAlign w:val="center"/>
            <w:hideMark/>
          </w:tcPr>
          <w:p w14:paraId="33AA7394"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135/150</w:t>
            </w:r>
          </w:p>
        </w:tc>
        <w:tc>
          <w:tcPr>
            <w:tcW w:w="2610" w:type="dxa"/>
            <w:tcBorders>
              <w:right w:val="nil"/>
            </w:tcBorders>
            <w:shd w:val="clear" w:color="auto" w:fill="F0F0EE"/>
            <w:tcMar>
              <w:top w:w="120" w:type="dxa"/>
              <w:left w:w="75" w:type="dxa"/>
              <w:bottom w:w="120" w:type="dxa"/>
              <w:right w:w="75" w:type="dxa"/>
            </w:tcMar>
            <w:vAlign w:val="center"/>
            <w:hideMark/>
          </w:tcPr>
          <w:p w14:paraId="2D20C5B1" w14:textId="77777777" w:rsidR="00BF6C55" w:rsidRPr="00BF6C55" w:rsidRDefault="00BF6C55" w:rsidP="00BF6C55">
            <w:pPr>
              <w:spacing w:after="240" w:line="240" w:lineRule="auto"/>
              <w:rPr>
                <w:rFonts w:ascii="Times New Roman" w:eastAsia="Times New Roman" w:hAnsi="Times New Roman" w:cs="Times New Roman"/>
                <w:sz w:val="24"/>
                <w:szCs w:val="24"/>
              </w:rPr>
            </w:pPr>
            <w:r w:rsidRPr="00BF6C55">
              <w:rPr>
                <w:rFonts w:ascii="Times New Roman" w:eastAsia="Times New Roman" w:hAnsi="Times New Roman" w:cs="Times New Roman"/>
                <w:sz w:val="24"/>
                <w:szCs w:val="24"/>
              </w:rPr>
              <w:t> </w:t>
            </w:r>
          </w:p>
        </w:tc>
      </w:tr>
    </w:tbl>
    <w:p w14:paraId="6708FA95" w14:textId="77777777" w:rsidR="00BF6C55" w:rsidRPr="00BF6C55" w:rsidRDefault="00BF6C55" w:rsidP="00BF6C55">
      <w:pPr>
        <w:shd w:val="clear" w:color="auto" w:fill="FFFFFF"/>
        <w:spacing w:after="240" w:line="240" w:lineRule="auto"/>
        <w:rPr>
          <w:rFonts w:ascii="Calibri" w:eastAsia="Times New Roman" w:hAnsi="Calibri" w:cs="Calibri"/>
          <w:color w:val="222222"/>
          <w:sz w:val="20"/>
          <w:szCs w:val="20"/>
        </w:rPr>
      </w:pPr>
      <w:r w:rsidRPr="00BF6C55">
        <w:rPr>
          <w:rFonts w:ascii="Calibri" w:eastAsia="Times New Roman" w:hAnsi="Calibri" w:cs="Calibri"/>
          <w:color w:val="222222"/>
          <w:sz w:val="20"/>
          <w:szCs w:val="20"/>
        </w:rPr>
        <w:t> </w:t>
      </w:r>
    </w:p>
    <w:p w14:paraId="5E82147F" w14:textId="77777777" w:rsidR="00BF6C55" w:rsidRPr="00BF6C55" w:rsidRDefault="00BF6C55" w:rsidP="00BF6C55">
      <w:pPr>
        <w:shd w:val="clear" w:color="auto" w:fill="FFFFFF"/>
        <w:spacing w:after="240" w:line="240" w:lineRule="auto"/>
        <w:rPr>
          <w:rFonts w:ascii="Calibri" w:eastAsia="Times New Roman" w:hAnsi="Calibri" w:cs="Calibri"/>
          <w:color w:val="222222"/>
          <w:sz w:val="20"/>
          <w:szCs w:val="20"/>
        </w:rPr>
      </w:pPr>
      <w:r w:rsidRPr="00BF6C55">
        <w:rPr>
          <w:rFonts w:ascii="Calibri" w:eastAsia="Times New Roman" w:hAnsi="Calibri" w:cs="Calibri"/>
          <w:color w:val="222222"/>
          <w:sz w:val="20"/>
          <w:szCs w:val="20"/>
        </w:rPr>
        <w:t> </w:t>
      </w:r>
    </w:p>
    <w:p w14:paraId="3CE002EA" w14:textId="77777777" w:rsidR="00BF6C55" w:rsidRDefault="00BF6C55"/>
    <w:sectPr w:rsidR="00BF6C55" w:rsidSect="00BF6C5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C55"/>
    <w:rsid w:val="00BF6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E045F"/>
  <w15:chartTrackingRefBased/>
  <w15:docId w15:val="{29EC484F-4EF2-42F3-B7B6-E11C68585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F6C5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6C5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F6C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F6C55"/>
    <w:rPr>
      <w:b/>
      <w:bCs/>
    </w:rPr>
  </w:style>
  <w:style w:type="character" w:styleId="Emphasis">
    <w:name w:val="Emphasis"/>
    <w:basedOn w:val="DefaultParagraphFont"/>
    <w:uiPriority w:val="20"/>
    <w:qFormat/>
    <w:rsid w:val="00BF6C55"/>
    <w:rPr>
      <w:i/>
      <w:iCs/>
    </w:rPr>
  </w:style>
  <w:style w:type="character" w:styleId="Hyperlink">
    <w:name w:val="Hyperlink"/>
    <w:basedOn w:val="DefaultParagraphFont"/>
    <w:uiPriority w:val="99"/>
    <w:semiHidden/>
    <w:unhideWhenUsed/>
    <w:rsid w:val="00BF6C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716582">
      <w:bodyDiv w:val="1"/>
      <w:marLeft w:val="0"/>
      <w:marRight w:val="0"/>
      <w:marTop w:val="0"/>
      <w:marBottom w:val="0"/>
      <w:divBdr>
        <w:top w:val="none" w:sz="0" w:space="0" w:color="auto"/>
        <w:left w:val="none" w:sz="0" w:space="0" w:color="auto"/>
        <w:bottom w:val="none" w:sz="0" w:space="0" w:color="auto"/>
        <w:right w:val="none" w:sz="0" w:space="0" w:color="auto"/>
      </w:divBdr>
      <w:divsChild>
        <w:div w:id="350763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pasty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1</cp:revision>
  <dcterms:created xsi:type="dcterms:W3CDTF">2020-03-25T16:05:00Z</dcterms:created>
  <dcterms:modified xsi:type="dcterms:W3CDTF">2020-03-25T16:07:00Z</dcterms:modified>
</cp:coreProperties>
</file>